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FA938" w14:textId="533F75FB" w:rsidR="00873B51" w:rsidRPr="0071715D" w:rsidRDefault="00873B51" w:rsidP="00B60461">
      <w:pPr>
        <w:pStyle w:val="Subtitle"/>
        <w:shd w:val="clear" w:color="auto" w:fill="FFFFFF"/>
        <w:spacing w:after="220"/>
        <w:ind w:right="240"/>
        <w:rPr>
          <w:b/>
          <w:color w:val="333333"/>
          <w:sz w:val="21"/>
          <w:szCs w:val="21"/>
        </w:rPr>
      </w:pPr>
      <w:r w:rsidRPr="0071715D">
        <w:rPr>
          <w:b/>
        </w:rPr>
        <w:t>Frequently Asked Questions</w:t>
      </w:r>
      <w:r>
        <w:rPr>
          <w:b/>
        </w:rPr>
        <w:t xml:space="preserve"> – Contracting </w:t>
      </w:r>
      <w:r w:rsidR="00B60461">
        <w:pict w14:anchorId="18DED9A0">
          <v:rect id="_x0000_i1025" style="width:277.45pt;height:2.15pt" o:hrpct="982" o:hralign="center" o:hrstd="t" o:hr="t" fillcolor="#a0a0a0" stroked="f"/>
        </w:pict>
      </w:r>
    </w:p>
    <w:p w14:paraId="0A6BCAD3" w14:textId="50FF418E" w:rsidR="00873B51" w:rsidRPr="0071715D" w:rsidRDefault="007157DF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What happens after my project is approved</w:t>
      </w:r>
      <w:r w:rsidR="00873B51" w:rsidRPr="0071715D">
        <w:rPr>
          <w:b/>
          <w:color w:val="333333"/>
          <w:sz w:val="21"/>
          <w:szCs w:val="21"/>
        </w:rPr>
        <w:t xml:space="preserve">? </w:t>
      </w:r>
    </w:p>
    <w:p w14:paraId="54A854B3" w14:textId="77777777" w:rsidR="007157DF" w:rsidRDefault="007157DF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Screen Australia will enter into a Production Grant Agreement (PGA) with you. Our Contracts team will send you a draft PGA for review, along with an explanatory email.</w:t>
      </w:r>
    </w:p>
    <w:p w14:paraId="348061FA" w14:textId="77777777" w:rsidR="0098778C" w:rsidRPr="0098778C" w:rsidRDefault="0098778C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 w:rsidRPr="0098778C">
        <w:rPr>
          <w:b/>
          <w:color w:val="333333"/>
          <w:sz w:val="21"/>
          <w:szCs w:val="21"/>
        </w:rPr>
        <w:t>Can I negotiate the terms of the PGA?</w:t>
      </w:r>
    </w:p>
    <w:p w14:paraId="62B2239B" w14:textId="77777777" w:rsidR="0098778C" w:rsidRDefault="0098778C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Under Screen Australia’s</w:t>
      </w:r>
      <w:r w:rsidR="007157DF">
        <w:rPr>
          <w:color w:val="333333"/>
          <w:sz w:val="21"/>
          <w:szCs w:val="21"/>
        </w:rPr>
        <w:t xml:space="preserve"> </w:t>
      </w:r>
      <w:r w:rsidR="007157DF" w:rsidRPr="007157DF">
        <w:rPr>
          <w:i/>
          <w:color w:val="333333"/>
          <w:sz w:val="21"/>
          <w:szCs w:val="21"/>
        </w:rPr>
        <w:t>Terms of Trade</w:t>
      </w:r>
      <w:r w:rsidR="007157DF">
        <w:rPr>
          <w:color w:val="333333"/>
          <w:sz w:val="21"/>
          <w:szCs w:val="21"/>
        </w:rPr>
        <w:t>, Screen Australia doesn’t enter into negotiations with grant recipients in respect of the General Terms of the PGA other than in exceptional circumstances.</w:t>
      </w:r>
      <w:r w:rsidR="00873B51" w:rsidRPr="0071715D">
        <w:rPr>
          <w:color w:val="333333"/>
          <w:sz w:val="21"/>
          <w:szCs w:val="21"/>
        </w:rPr>
        <w:t xml:space="preserve"> </w:t>
      </w:r>
    </w:p>
    <w:p w14:paraId="715B9CA7" w14:textId="77777777" w:rsidR="0098778C" w:rsidRDefault="0098778C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This ensures fairness and conformity across Programs plus allows Screen Australia to contract a very high volume of agreements in a timely manner.</w:t>
      </w:r>
    </w:p>
    <w:p w14:paraId="6450AF55" w14:textId="5871F275" w:rsidR="00873B51" w:rsidRDefault="0098778C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Please note, t</w:t>
      </w:r>
      <w:r w:rsidR="007157DF">
        <w:rPr>
          <w:color w:val="333333"/>
          <w:sz w:val="21"/>
          <w:szCs w:val="21"/>
        </w:rPr>
        <w:t xml:space="preserve">he </w:t>
      </w:r>
      <w:r w:rsidR="000A2A92">
        <w:rPr>
          <w:color w:val="333333"/>
          <w:sz w:val="21"/>
          <w:szCs w:val="21"/>
        </w:rPr>
        <w:t>definitions</w:t>
      </w:r>
      <w:r w:rsidR="007157DF">
        <w:rPr>
          <w:color w:val="333333"/>
          <w:sz w:val="21"/>
          <w:szCs w:val="21"/>
        </w:rPr>
        <w:t xml:space="preserve"> ‘</w:t>
      </w:r>
      <w:r w:rsidR="007157DF" w:rsidRPr="000A2A92">
        <w:rPr>
          <w:i/>
          <w:color w:val="333333"/>
          <w:sz w:val="21"/>
          <w:szCs w:val="21"/>
        </w:rPr>
        <w:t>General Terms</w:t>
      </w:r>
      <w:r w:rsidR="007157DF">
        <w:rPr>
          <w:color w:val="333333"/>
          <w:sz w:val="21"/>
          <w:szCs w:val="21"/>
        </w:rPr>
        <w:t>’ (in PGA) and ‘</w:t>
      </w:r>
      <w:r w:rsidR="007157DF" w:rsidRPr="000A2A92">
        <w:rPr>
          <w:i/>
          <w:color w:val="333333"/>
          <w:sz w:val="21"/>
          <w:szCs w:val="21"/>
        </w:rPr>
        <w:t>Core Conditions</w:t>
      </w:r>
      <w:r w:rsidR="007157DF">
        <w:rPr>
          <w:color w:val="333333"/>
          <w:sz w:val="21"/>
          <w:szCs w:val="21"/>
        </w:rPr>
        <w:t xml:space="preserve">’ (in </w:t>
      </w:r>
      <w:r w:rsidR="007157DF" w:rsidRPr="007157DF">
        <w:rPr>
          <w:i/>
          <w:color w:val="333333"/>
          <w:sz w:val="21"/>
          <w:szCs w:val="21"/>
        </w:rPr>
        <w:t>Terms of Trade</w:t>
      </w:r>
      <w:r w:rsidR="007157DF">
        <w:rPr>
          <w:color w:val="333333"/>
          <w:sz w:val="21"/>
          <w:szCs w:val="21"/>
        </w:rPr>
        <w:t>) are interchangeable.</w:t>
      </w:r>
    </w:p>
    <w:p w14:paraId="0519AA95" w14:textId="4337688F" w:rsidR="007157DF" w:rsidRPr="000A2A92" w:rsidRDefault="000A2A92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When will I be paid</w:t>
      </w:r>
      <w:r w:rsidR="007157DF" w:rsidRPr="000A2A92">
        <w:rPr>
          <w:b/>
          <w:color w:val="333333"/>
          <w:sz w:val="21"/>
          <w:szCs w:val="21"/>
        </w:rPr>
        <w:t>?</w:t>
      </w:r>
    </w:p>
    <w:p w14:paraId="31E9DE95" w14:textId="6B8DF07E" w:rsidR="000A2A92" w:rsidRDefault="000A2A92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Once the PGA is fully signed and</w:t>
      </w:r>
      <w:r w:rsidR="004D47E5">
        <w:rPr>
          <w:color w:val="333333"/>
          <w:sz w:val="21"/>
          <w:szCs w:val="21"/>
        </w:rPr>
        <w:t xml:space="preserve"> any conditions to payment</w:t>
      </w:r>
      <w:r w:rsidR="00E3236C">
        <w:rPr>
          <w:color w:val="333333"/>
          <w:sz w:val="21"/>
          <w:szCs w:val="21"/>
        </w:rPr>
        <w:t>s</w:t>
      </w:r>
      <w:r w:rsidR="004D47E5">
        <w:rPr>
          <w:color w:val="333333"/>
          <w:sz w:val="21"/>
          <w:szCs w:val="21"/>
        </w:rPr>
        <w:t xml:space="preserve"> are satisfied, Screen Australia </w:t>
      </w:r>
      <w:r>
        <w:rPr>
          <w:color w:val="333333"/>
          <w:sz w:val="21"/>
          <w:szCs w:val="21"/>
        </w:rPr>
        <w:t>will pay you within 10 days of receipt of a correct invoice.</w:t>
      </w:r>
    </w:p>
    <w:p w14:paraId="7DC6703D" w14:textId="334F01C1" w:rsidR="004D47E5" w:rsidRPr="0098778C" w:rsidRDefault="00EE7205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How will</w:t>
      </w:r>
      <w:r w:rsidR="004D47E5" w:rsidRPr="0098778C">
        <w:rPr>
          <w:b/>
          <w:color w:val="333333"/>
          <w:sz w:val="21"/>
          <w:szCs w:val="21"/>
        </w:rPr>
        <w:t xml:space="preserve"> I be paid?</w:t>
      </w:r>
    </w:p>
    <w:p w14:paraId="03EB8FA9" w14:textId="77777777" w:rsidR="00BD0899" w:rsidRDefault="004D47E5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Screen Australia will pay your funding in 3 instalments</w:t>
      </w:r>
      <w:r w:rsidR="00BD0899">
        <w:rPr>
          <w:color w:val="333333"/>
          <w:sz w:val="21"/>
          <w:szCs w:val="21"/>
        </w:rPr>
        <w:t>:</w:t>
      </w:r>
    </w:p>
    <w:p w14:paraId="042FA5CF" w14:textId="532B766A" w:rsidR="00BD0899" w:rsidRDefault="004D47E5" w:rsidP="00B60461">
      <w:pPr>
        <w:pStyle w:val="ListParagraph"/>
        <w:numPr>
          <w:ilvl w:val="0"/>
          <w:numId w:val="8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 w:rsidRPr="00BD0899">
        <w:rPr>
          <w:color w:val="333333"/>
          <w:sz w:val="21"/>
          <w:szCs w:val="21"/>
        </w:rPr>
        <w:t>60% on signing the PGA</w:t>
      </w:r>
      <w:r w:rsidR="007120CB">
        <w:rPr>
          <w:color w:val="333333"/>
          <w:sz w:val="21"/>
          <w:szCs w:val="21"/>
        </w:rPr>
        <w:t>;</w:t>
      </w:r>
    </w:p>
    <w:p w14:paraId="6A2F5858" w14:textId="25E9976B" w:rsidR="00BD0899" w:rsidRDefault="004D47E5" w:rsidP="00B60461">
      <w:pPr>
        <w:pStyle w:val="ListParagraph"/>
        <w:numPr>
          <w:ilvl w:val="0"/>
          <w:numId w:val="8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 w:rsidRPr="00BD0899">
        <w:rPr>
          <w:color w:val="333333"/>
          <w:sz w:val="21"/>
          <w:szCs w:val="21"/>
        </w:rPr>
        <w:t>30% on Screen Australia’s approval of your Milestone 2 Cost Report</w:t>
      </w:r>
      <w:r w:rsidR="007120CB">
        <w:rPr>
          <w:color w:val="333333"/>
          <w:sz w:val="21"/>
          <w:szCs w:val="21"/>
        </w:rPr>
        <w:t>;</w:t>
      </w:r>
      <w:r w:rsidRPr="00BD0899">
        <w:rPr>
          <w:color w:val="333333"/>
          <w:sz w:val="21"/>
          <w:szCs w:val="21"/>
        </w:rPr>
        <w:t xml:space="preserve"> and </w:t>
      </w:r>
    </w:p>
    <w:p w14:paraId="40CCD004" w14:textId="5860D873" w:rsidR="004D47E5" w:rsidRPr="00BD0899" w:rsidRDefault="00BD0899" w:rsidP="00B60461">
      <w:pPr>
        <w:pStyle w:val="ListParagraph"/>
        <w:numPr>
          <w:ilvl w:val="0"/>
          <w:numId w:val="8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1</w:t>
      </w:r>
      <w:r w:rsidR="004D47E5" w:rsidRPr="00BD0899">
        <w:rPr>
          <w:color w:val="333333"/>
          <w:sz w:val="21"/>
          <w:szCs w:val="21"/>
        </w:rPr>
        <w:t xml:space="preserve">0% on Screen Australia’s approval of your Final Cost Report </w:t>
      </w:r>
      <w:r w:rsidR="00C113C7" w:rsidRPr="00BD0899">
        <w:rPr>
          <w:color w:val="333333"/>
          <w:sz w:val="21"/>
          <w:szCs w:val="21"/>
        </w:rPr>
        <w:t xml:space="preserve">(Milestone 3) </w:t>
      </w:r>
      <w:r w:rsidR="004D47E5" w:rsidRPr="00BD0899">
        <w:rPr>
          <w:color w:val="333333"/>
          <w:sz w:val="21"/>
          <w:szCs w:val="21"/>
        </w:rPr>
        <w:t>and receipt of the Delivery Materials set out in the PGA.</w:t>
      </w:r>
    </w:p>
    <w:p w14:paraId="0AFF3606" w14:textId="3C54AE76" w:rsidR="004D47E5" w:rsidRPr="004D47E5" w:rsidRDefault="004D47E5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What are the conditions to payment?</w:t>
      </w:r>
    </w:p>
    <w:p w14:paraId="7ADD9CE0" w14:textId="2D3312BC" w:rsidR="007157DF" w:rsidRDefault="002F738F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 w:rsidRPr="000A2A92">
        <w:rPr>
          <w:i/>
          <w:color w:val="333333"/>
          <w:sz w:val="21"/>
          <w:szCs w:val="21"/>
        </w:rPr>
        <w:t xml:space="preserve">Instalment 1 </w:t>
      </w:r>
      <w:r w:rsidR="000A2A92">
        <w:rPr>
          <w:color w:val="333333"/>
          <w:sz w:val="21"/>
          <w:szCs w:val="21"/>
        </w:rPr>
        <w:t>–</w:t>
      </w:r>
      <w:r>
        <w:rPr>
          <w:color w:val="333333"/>
          <w:sz w:val="21"/>
          <w:szCs w:val="21"/>
        </w:rPr>
        <w:t xml:space="preserve"> </w:t>
      </w:r>
      <w:r w:rsidR="000A2A92">
        <w:rPr>
          <w:color w:val="333333"/>
          <w:sz w:val="21"/>
          <w:szCs w:val="21"/>
        </w:rPr>
        <w:t>will be paid on</w:t>
      </w:r>
      <w:r w:rsidR="00AE02BA">
        <w:rPr>
          <w:color w:val="333333"/>
          <w:sz w:val="21"/>
          <w:szCs w:val="21"/>
        </w:rPr>
        <w:t xml:space="preserve"> Screen Australia’s receipt of</w:t>
      </w:r>
      <w:r w:rsidR="00965108">
        <w:rPr>
          <w:color w:val="333333"/>
          <w:sz w:val="21"/>
          <w:szCs w:val="21"/>
        </w:rPr>
        <w:t>:</w:t>
      </w:r>
    </w:p>
    <w:p w14:paraId="56A2CD19" w14:textId="52D9B848" w:rsidR="00965108" w:rsidRDefault="00965108" w:rsidP="00B60461">
      <w:pPr>
        <w:pStyle w:val="ListParagraph"/>
        <w:numPr>
          <w:ilvl w:val="0"/>
          <w:numId w:val="5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an opinion from a suitably qualified solicitor</w:t>
      </w:r>
      <w:r w:rsidR="007120CB">
        <w:rPr>
          <w:color w:val="333333"/>
          <w:sz w:val="21"/>
          <w:szCs w:val="21"/>
        </w:rPr>
        <w:t xml:space="preserve"> - t</w:t>
      </w:r>
      <w:r w:rsidR="00E65A83">
        <w:rPr>
          <w:color w:val="333333"/>
          <w:sz w:val="21"/>
          <w:szCs w:val="21"/>
        </w:rPr>
        <w:t xml:space="preserve">his will be a brief letter confirming they act for you in connection with </w:t>
      </w:r>
      <w:r w:rsidR="007120CB">
        <w:rPr>
          <w:color w:val="333333"/>
          <w:sz w:val="21"/>
          <w:szCs w:val="21"/>
        </w:rPr>
        <w:t>your project</w:t>
      </w:r>
      <w:r w:rsidR="00E65A83">
        <w:rPr>
          <w:color w:val="333333"/>
          <w:sz w:val="21"/>
          <w:szCs w:val="21"/>
        </w:rPr>
        <w:t xml:space="preserve"> and have provided you with advice about appropriate clearance procedures to enable you to obtain all necessary </w:t>
      </w:r>
      <w:r w:rsidR="00841B86">
        <w:rPr>
          <w:color w:val="333333"/>
          <w:sz w:val="21"/>
          <w:szCs w:val="21"/>
        </w:rPr>
        <w:t xml:space="preserve">rights to make the game; </w:t>
      </w:r>
      <w:r>
        <w:rPr>
          <w:color w:val="333333"/>
          <w:sz w:val="21"/>
          <w:szCs w:val="21"/>
        </w:rPr>
        <w:t>and</w:t>
      </w:r>
    </w:p>
    <w:p w14:paraId="19F5062C" w14:textId="438A9938" w:rsidR="00965108" w:rsidRDefault="002F738F" w:rsidP="00B60461">
      <w:pPr>
        <w:pStyle w:val="ListParagraph"/>
        <w:numPr>
          <w:ilvl w:val="0"/>
          <w:numId w:val="5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proofErr w:type="gramStart"/>
      <w:r>
        <w:rPr>
          <w:color w:val="333333"/>
          <w:sz w:val="21"/>
          <w:szCs w:val="21"/>
        </w:rPr>
        <w:t>written</w:t>
      </w:r>
      <w:proofErr w:type="gramEnd"/>
      <w:r>
        <w:rPr>
          <w:color w:val="333333"/>
          <w:sz w:val="21"/>
          <w:szCs w:val="21"/>
        </w:rPr>
        <w:t xml:space="preserve"> confirmation from the National Film and Sound Archive (NFSA) that you have sent the signed </w:t>
      </w:r>
      <w:r w:rsidR="00965108">
        <w:rPr>
          <w:color w:val="333333"/>
          <w:sz w:val="21"/>
          <w:szCs w:val="21"/>
        </w:rPr>
        <w:t>NFSA Deed for your project</w:t>
      </w:r>
      <w:r>
        <w:rPr>
          <w:color w:val="333333"/>
          <w:sz w:val="21"/>
          <w:szCs w:val="21"/>
        </w:rPr>
        <w:t xml:space="preserve"> to the NFSA</w:t>
      </w:r>
      <w:r w:rsidR="00965108">
        <w:rPr>
          <w:color w:val="333333"/>
          <w:sz w:val="21"/>
          <w:szCs w:val="21"/>
        </w:rPr>
        <w:t xml:space="preserve">. </w:t>
      </w:r>
    </w:p>
    <w:p w14:paraId="3EFA6D6F" w14:textId="1D01FB88" w:rsidR="0098778C" w:rsidRDefault="002F738F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 w:rsidRPr="000A2A92">
        <w:rPr>
          <w:i/>
          <w:color w:val="333333"/>
          <w:sz w:val="21"/>
          <w:szCs w:val="21"/>
        </w:rPr>
        <w:t>Instalment 2</w:t>
      </w:r>
      <w:r w:rsidR="0098778C">
        <w:rPr>
          <w:color w:val="333333"/>
          <w:sz w:val="21"/>
          <w:szCs w:val="21"/>
        </w:rPr>
        <w:t xml:space="preserve"> – will be paid on Screen Australia’s receipt and approval of your Milestone 2 Cost Report.</w:t>
      </w:r>
    </w:p>
    <w:p w14:paraId="38393907" w14:textId="78067797" w:rsidR="00E65A83" w:rsidRDefault="0098778C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 w:rsidRPr="000A2A92">
        <w:rPr>
          <w:i/>
          <w:color w:val="333333"/>
          <w:sz w:val="21"/>
          <w:szCs w:val="21"/>
        </w:rPr>
        <w:t>Instalment 3</w:t>
      </w:r>
      <w:r>
        <w:rPr>
          <w:color w:val="333333"/>
          <w:sz w:val="21"/>
          <w:szCs w:val="21"/>
        </w:rPr>
        <w:t xml:space="preserve"> – </w:t>
      </w:r>
      <w:r w:rsidR="000A2A92">
        <w:rPr>
          <w:color w:val="333333"/>
          <w:sz w:val="21"/>
          <w:szCs w:val="21"/>
        </w:rPr>
        <w:t>will be paid on Screen Australia’s receipt and approval of:</w:t>
      </w:r>
    </w:p>
    <w:p w14:paraId="212DF227" w14:textId="24768375" w:rsidR="00E65A83" w:rsidRDefault="000A2A92" w:rsidP="00B60461">
      <w:pPr>
        <w:pStyle w:val="ListParagraph"/>
        <w:numPr>
          <w:ilvl w:val="0"/>
          <w:numId w:val="6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a second</w:t>
      </w:r>
      <w:r w:rsidR="00841B86">
        <w:rPr>
          <w:color w:val="333333"/>
          <w:sz w:val="21"/>
          <w:szCs w:val="21"/>
        </w:rPr>
        <w:t xml:space="preserve"> opinion from a suitably qualified solicitor</w:t>
      </w:r>
      <w:r w:rsidR="007120CB">
        <w:rPr>
          <w:color w:val="333333"/>
          <w:sz w:val="21"/>
          <w:szCs w:val="21"/>
        </w:rPr>
        <w:t xml:space="preserve"> - confirming</w:t>
      </w:r>
      <w:r w:rsidR="00841B86">
        <w:rPr>
          <w:color w:val="333333"/>
          <w:sz w:val="21"/>
          <w:szCs w:val="21"/>
        </w:rPr>
        <w:t xml:space="preserve"> you hold all </w:t>
      </w:r>
      <w:r w:rsidR="00BD0899">
        <w:rPr>
          <w:color w:val="333333"/>
          <w:sz w:val="21"/>
          <w:szCs w:val="21"/>
        </w:rPr>
        <w:t>necessary</w:t>
      </w:r>
      <w:r w:rsidR="00841B86">
        <w:rPr>
          <w:color w:val="333333"/>
          <w:sz w:val="21"/>
          <w:szCs w:val="21"/>
        </w:rPr>
        <w:t xml:space="preserve"> rights to </w:t>
      </w:r>
      <w:r w:rsidR="00BD0899">
        <w:rPr>
          <w:color w:val="333333"/>
          <w:sz w:val="21"/>
          <w:szCs w:val="21"/>
        </w:rPr>
        <w:t>deliver and exploit</w:t>
      </w:r>
      <w:r w:rsidR="00841B86">
        <w:rPr>
          <w:color w:val="333333"/>
          <w:sz w:val="21"/>
          <w:szCs w:val="21"/>
        </w:rPr>
        <w:t xml:space="preserve"> the game</w:t>
      </w:r>
      <w:r w:rsidR="00AE02BA">
        <w:rPr>
          <w:color w:val="333333"/>
          <w:sz w:val="21"/>
          <w:szCs w:val="21"/>
        </w:rPr>
        <w:t xml:space="preserve">; </w:t>
      </w:r>
      <w:r w:rsidR="0098778C">
        <w:rPr>
          <w:color w:val="333333"/>
          <w:sz w:val="21"/>
          <w:szCs w:val="21"/>
        </w:rPr>
        <w:t>and</w:t>
      </w:r>
    </w:p>
    <w:p w14:paraId="4347700F" w14:textId="6D942F4C" w:rsidR="00AE02BA" w:rsidRDefault="00AE02BA" w:rsidP="00B60461">
      <w:pPr>
        <w:pStyle w:val="ListParagraph"/>
        <w:numPr>
          <w:ilvl w:val="0"/>
          <w:numId w:val="6"/>
        </w:numPr>
        <w:shd w:val="clear" w:color="auto" w:fill="FFFFFF"/>
        <w:spacing w:after="220"/>
        <w:ind w:left="426" w:right="382" w:hanging="426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Screen Australia’s approval of the Delivery Materials set out </w:t>
      </w:r>
      <w:r w:rsidR="0098778C">
        <w:rPr>
          <w:color w:val="333333"/>
          <w:sz w:val="21"/>
          <w:szCs w:val="21"/>
        </w:rPr>
        <w:t>in the PGA.</w:t>
      </w:r>
    </w:p>
    <w:p w14:paraId="75B07A63" w14:textId="77777777" w:rsidR="00B714C2" w:rsidRDefault="007120CB" w:rsidP="00B60461">
      <w:pPr>
        <w:shd w:val="clear" w:color="auto" w:fill="FFFFFF"/>
        <w:ind w:left="720" w:right="382" w:hanging="72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Note:</w:t>
      </w:r>
    </w:p>
    <w:p w14:paraId="0C35354D" w14:textId="0E541583" w:rsidR="00CA7642" w:rsidRPr="00B714C2" w:rsidRDefault="007120CB" w:rsidP="00B60461">
      <w:pPr>
        <w:pStyle w:val="ListParagraph"/>
        <w:numPr>
          <w:ilvl w:val="0"/>
          <w:numId w:val="11"/>
        </w:num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 w:rsidRPr="00B714C2">
        <w:rPr>
          <w:color w:val="333333"/>
          <w:sz w:val="21"/>
          <w:szCs w:val="21"/>
        </w:rPr>
        <w:t>t</w:t>
      </w:r>
      <w:r w:rsidR="00841B86" w:rsidRPr="00B714C2">
        <w:rPr>
          <w:color w:val="333333"/>
          <w:sz w:val="21"/>
          <w:szCs w:val="21"/>
        </w:rPr>
        <w:t xml:space="preserve">emplates for </w:t>
      </w:r>
      <w:r w:rsidR="000A2A92" w:rsidRPr="00B714C2">
        <w:rPr>
          <w:color w:val="333333"/>
          <w:sz w:val="21"/>
          <w:szCs w:val="21"/>
        </w:rPr>
        <w:t>the NFSA Deed and opinion letter</w:t>
      </w:r>
      <w:r w:rsidR="00BD0899" w:rsidRPr="00B714C2">
        <w:rPr>
          <w:color w:val="333333"/>
          <w:sz w:val="21"/>
          <w:szCs w:val="21"/>
        </w:rPr>
        <w:t>s</w:t>
      </w:r>
      <w:r w:rsidR="000A2A92" w:rsidRPr="00B714C2">
        <w:rPr>
          <w:color w:val="333333"/>
          <w:sz w:val="21"/>
          <w:szCs w:val="21"/>
        </w:rPr>
        <w:t xml:space="preserve"> </w:t>
      </w:r>
      <w:r w:rsidR="00841B86" w:rsidRPr="00B714C2">
        <w:rPr>
          <w:color w:val="333333"/>
          <w:sz w:val="21"/>
          <w:szCs w:val="21"/>
        </w:rPr>
        <w:t>will be sent to you at the same time as the draft PGA</w:t>
      </w:r>
    </w:p>
    <w:p w14:paraId="6ECD64DD" w14:textId="0A308765" w:rsidR="00841B86" w:rsidRPr="00CA7642" w:rsidRDefault="00CA7642" w:rsidP="00B60461">
      <w:pPr>
        <w:pStyle w:val="ListParagraph"/>
        <w:numPr>
          <w:ilvl w:val="0"/>
          <w:numId w:val="11"/>
        </w:numPr>
        <w:shd w:val="clear" w:color="auto" w:fill="FFFFFF"/>
        <w:spacing w:after="220"/>
        <w:ind w:right="382" w:hanging="294"/>
        <w:rPr>
          <w:color w:val="333333"/>
          <w:sz w:val="21"/>
          <w:szCs w:val="21"/>
        </w:rPr>
      </w:pPr>
      <w:proofErr w:type="gramStart"/>
      <w:r w:rsidRPr="00CA7642">
        <w:rPr>
          <w:color w:val="333333"/>
          <w:sz w:val="21"/>
          <w:szCs w:val="21"/>
        </w:rPr>
        <w:t>the</w:t>
      </w:r>
      <w:proofErr w:type="gramEnd"/>
      <w:r w:rsidRPr="00CA7642">
        <w:rPr>
          <w:color w:val="333333"/>
          <w:sz w:val="21"/>
          <w:szCs w:val="21"/>
        </w:rPr>
        <w:t xml:space="preserve"> cost </w:t>
      </w:r>
      <w:r w:rsidR="007120CB" w:rsidRPr="00CA7642">
        <w:rPr>
          <w:color w:val="333333"/>
          <w:sz w:val="21"/>
          <w:szCs w:val="21"/>
        </w:rPr>
        <w:t>report template is available via a link in the PGA</w:t>
      </w:r>
      <w:r w:rsidR="000A2A92" w:rsidRPr="00CA7642">
        <w:rPr>
          <w:color w:val="333333"/>
          <w:sz w:val="21"/>
          <w:szCs w:val="21"/>
        </w:rPr>
        <w:t>.</w:t>
      </w:r>
    </w:p>
    <w:p w14:paraId="02E59181" w14:textId="51633DC4" w:rsidR="000A2A92" w:rsidRPr="004D47E5" w:rsidRDefault="004D47E5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Why am I </w:t>
      </w:r>
      <w:r w:rsidRPr="004D47E5">
        <w:rPr>
          <w:b/>
          <w:color w:val="333333"/>
          <w:sz w:val="21"/>
          <w:szCs w:val="21"/>
        </w:rPr>
        <w:t>delivering materials to the NFSA twice?</w:t>
      </w:r>
    </w:p>
    <w:p w14:paraId="2F846DC1" w14:textId="77777777" w:rsidR="004D47E5" w:rsidRPr="004D47E5" w:rsidRDefault="004D47E5" w:rsidP="00B60461">
      <w:pPr>
        <w:spacing w:before="120" w:after="120"/>
        <w:ind w:right="382"/>
        <w:rPr>
          <w:sz w:val="21"/>
          <w:szCs w:val="21"/>
        </w:rPr>
      </w:pPr>
      <w:r w:rsidRPr="004D47E5">
        <w:rPr>
          <w:sz w:val="21"/>
          <w:szCs w:val="21"/>
        </w:rPr>
        <w:t xml:space="preserve">The NFSA is a government agency entrusted to collect, preserve and share Australia’s </w:t>
      </w:r>
      <w:proofErr w:type="spellStart"/>
      <w:r w:rsidRPr="004D47E5">
        <w:rPr>
          <w:sz w:val="21"/>
          <w:szCs w:val="21"/>
        </w:rPr>
        <w:t>audiovisual</w:t>
      </w:r>
      <w:proofErr w:type="spellEnd"/>
      <w:r w:rsidRPr="004D47E5">
        <w:rPr>
          <w:sz w:val="21"/>
          <w:szCs w:val="21"/>
        </w:rPr>
        <w:t xml:space="preserve"> culture. It holds more than 3 million works.</w:t>
      </w:r>
    </w:p>
    <w:p w14:paraId="067357EA" w14:textId="77777777" w:rsidR="004D47E5" w:rsidRPr="004D47E5" w:rsidRDefault="004D47E5" w:rsidP="00B60461">
      <w:pPr>
        <w:spacing w:before="120" w:after="120"/>
        <w:ind w:right="382"/>
        <w:rPr>
          <w:sz w:val="21"/>
          <w:szCs w:val="21"/>
        </w:rPr>
      </w:pPr>
      <w:r w:rsidRPr="004D47E5">
        <w:rPr>
          <w:sz w:val="21"/>
          <w:szCs w:val="21"/>
        </w:rPr>
        <w:t xml:space="preserve">Several years ago, Screen Australia transferred its library function to the NFSA. </w:t>
      </w:r>
    </w:p>
    <w:p w14:paraId="50A5C96B" w14:textId="758727B0" w:rsidR="004D47E5" w:rsidRDefault="00D678DB" w:rsidP="00B60461">
      <w:pPr>
        <w:shd w:val="clear" w:color="auto" w:fill="FFFFFF"/>
        <w:spacing w:after="220"/>
        <w:ind w:right="382"/>
        <w:rPr>
          <w:sz w:val="21"/>
          <w:szCs w:val="21"/>
        </w:rPr>
      </w:pPr>
      <w:r>
        <w:rPr>
          <w:sz w:val="21"/>
          <w:szCs w:val="21"/>
        </w:rPr>
        <w:t>Under the PGA, you must</w:t>
      </w:r>
      <w:r w:rsidR="004D47E5">
        <w:rPr>
          <w:sz w:val="21"/>
          <w:szCs w:val="21"/>
        </w:rPr>
        <w:t xml:space="preserve"> deliver </w:t>
      </w:r>
      <w:r>
        <w:rPr>
          <w:sz w:val="21"/>
          <w:szCs w:val="21"/>
        </w:rPr>
        <w:t>the following to</w:t>
      </w:r>
      <w:r w:rsidR="004D47E5">
        <w:rPr>
          <w:sz w:val="21"/>
          <w:szCs w:val="21"/>
        </w:rPr>
        <w:t xml:space="preserve"> the NFSA:</w:t>
      </w:r>
    </w:p>
    <w:p w14:paraId="6A23299F" w14:textId="52EFC4DB" w:rsidR="004D47E5" w:rsidRDefault="00D678DB" w:rsidP="00B60461">
      <w:pPr>
        <w:pStyle w:val="ListParagraph"/>
        <w:numPr>
          <w:ilvl w:val="0"/>
          <w:numId w:val="7"/>
        </w:numPr>
        <w:shd w:val="clear" w:color="auto" w:fill="FFFFFF"/>
        <w:spacing w:after="220"/>
        <w:ind w:left="426" w:right="382" w:hanging="426"/>
        <w:rPr>
          <w:sz w:val="21"/>
          <w:szCs w:val="21"/>
        </w:rPr>
      </w:pPr>
      <w:r>
        <w:rPr>
          <w:sz w:val="21"/>
          <w:szCs w:val="21"/>
        </w:rPr>
        <w:t>t</w:t>
      </w:r>
      <w:r w:rsidR="004D47E5">
        <w:rPr>
          <w:sz w:val="21"/>
          <w:szCs w:val="21"/>
        </w:rPr>
        <w:t xml:space="preserve">he </w:t>
      </w:r>
      <w:r w:rsidR="00BD0899">
        <w:rPr>
          <w:sz w:val="21"/>
          <w:szCs w:val="21"/>
        </w:rPr>
        <w:t>NFSA Deed</w:t>
      </w:r>
      <w:r w:rsidR="004D47E5">
        <w:rPr>
          <w:sz w:val="21"/>
          <w:szCs w:val="21"/>
        </w:rPr>
        <w:t>; and</w:t>
      </w:r>
    </w:p>
    <w:p w14:paraId="1436E347" w14:textId="663D1238" w:rsidR="004D47E5" w:rsidRDefault="00C448CF" w:rsidP="00B60461">
      <w:pPr>
        <w:pStyle w:val="ListParagraph"/>
        <w:numPr>
          <w:ilvl w:val="0"/>
          <w:numId w:val="7"/>
        </w:numPr>
        <w:shd w:val="clear" w:color="auto" w:fill="FFFFFF"/>
        <w:spacing w:after="220"/>
        <w:ind w:left="426" w:right="382" w:hanging="426"/>
        <w:rPr>
          <w:sz w:val="21"/>
          <w:szCs w:val="21"/>
        </w:rPr>
      </w:pPr>
      <w:r>
        <w:rPr>
          <w:sz w:val="21"/>
          <w:szCs w:val="21"/>
        </w:rPr>
        <w:t>Y</w:t>
      </w:r>
      <w:r w:rsidR="004D47E5">
        <w:rPr>
          <w:sz w:val="21"/>
          <w:szCs w:val="21"/>
        </w:rPr>
        <w:t xml:space="preserve">our completed </w:t>
      </w:r>
      <w:r w:rsidR="00BD0899">
        <w:rPr>
          <w:sz w:val="21"/>
          <w:szCs w:val="21"/>
        </w:rPr>
        <w:t>game</w:t>
      </w:r>
    </w:p>
    <w:p w14:paraId="1FC047EB" w14:textId="1392EA2C" w:rsidR="008D595F" w:rsidRPr="008D595F" w:rsidRDefault="008D595F" w:rsidP="00B60461">
      <w:pPr>
        <w:shd w:val="clear" w:color="auto" w:fill="FFFFFF"/>
        <w:tabs>
          <w:tab w:val="left" w:pos="426"/>
        </w:tabs>
        <w:spacing w:after="220"/>
        <w:ind w:left="426" w:right="382" w:hanging="426"/>
        <w:rPr>
          <w:sz w:val="21"/>
          <w:szCs w:val="21"/>
        </w:rPr>
      </w:pPr>
      <w:r>
        <w:rPr>
          <w:sz w:val="21"/>
          <w:szCs w:val="21"/>
        </w:rPr>
        <w:tab/>
        <w:t xml:space="preserve">In both cases, once you deliver the above items to the NFSA, </w:t>
      </w:r>
      <w:r w:rsidR="007120CB">
        <w:rPr>
          <w:sz w:val="21"/>
          <w:szCs w:val="21"/>
        </w:rPr>
        <w:t>the NFSA</w:t>
      </w:r>
      <w:r>
        <w:rPr>
          <w:sz w:val="21"/>
          <w:szCs w:val="21"/>
        </w:rPr>
        <w:t xml:space="preserve"> will acknowledge receipt (by email) and copy Screen Australia. </w:t>
      </w:r>
    </w:p>
    <w:p w14:paraId="305A5A7D" w14:textId="5480D571" w:rsidR="00965108" w:rsidRPr="000A2A92" w:rsidRDefault="00C113C7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Additional explanations </w:t>
      </w:r>
      <w:r w:rsidR="00BD0899">
        <w:rPr>
          <w:b/>
          <w:color w:val="333333"/>
          <w:sz w:val="21"/>
          <w:szCs w:val="21"/>
        </w:rPr>
        <w:t>for</w:t>
      </w:r>
      <w:r>
        <w:rPr>
          <w:b/>
          <w:color w:val="333333"/>
          <w:sz w:val="21"/>
          <w:szCs w:val="21"/>
        </w:rPr>
        <w:t xml:space="preserve"> some terms and clauses in</w:t>
      </w:r>
      <w:r w:rsidR="00965108" w:rsidRPr="000A2A92">
        <w:rPr>
          <w:b/>
          <w:color w:val="333333"/>
          <w:sz w:val="21"/>
          <w:szCs w:val="21"/>
        </w:rPr>
        <w:t xml:space="preserve"> the PGA</w:t>
      </w:r>
      <w:r w:rsidR="00841B86" w:rsidRPr="000A2A92">
        <w:rPr>
          <w:b/>
          <w:color w:val="333333"/>
          <w:sz w:val="21"/>
          <w:szCs w:val="21"/>
        </w:rPr>
        <w:t xml:space="preserve"> </w:t>
      </w:r>
    </w:p>
    <w:p w14:paraId="45CE7D73" w14:textId="77777777" w:rsidR="00841B86" w:rsidRPr="00C448CF" w:rsidRDefault="00841B86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 w:rsidRPr="00C448CF">
        <w:rPr>
          <w:b/>
          <w:color w:val="333333"/>
          <w:sz w:val="21"/>
          <w:szCs w:val="21"/>
        </w:rPr>
        <w:t>Screen Australia’s acknowledgement</w:t>
      </w:r>
    </w:p>
    <w:p w14:paraId="440BAB41" w14:textId="5861762D" w:rsidR="00841B86" w:rsidRDefault="00841B86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You must acknowledge Screen Australia’</w:t>
      </w:r>
      <w:r w:rsidR="00C113C7">
        <w:rPr>
          <w:color w:val="333333"/>
          <w:sz w:val="21"/>
          <w:szCs w:val="21"/>
        </w:rPr>
        <w:t>s support of your p</w:t>
      </w:r>
      <w:r>
        <w:rPr>
          <w:color w:val="333333"/>
          <w:sz w:val="21"/>
          <w:szCs w:val="21"/>
        </w:rPr>
        <w:t xml:space="preserve">roject. </w:t>
      </w:r>
      <w:r w:rsidR="00C113C7">
        <w:rPr>
          <w:color w:val="333333"/>
          <w:sz w:val="21"/>
          <w:szCs w:val="21"/>
        </w:rPr>
        <w:t xml:space="preserve">The form of acknowledgement is set out in the PGA. </w:t>
      </w:r>
      <w:r>
        <w:rPr>
          <w:color w:val="333333"/>
          <w:sz w:val="21"/>
          <w:szCs w:val="21"/>
        </w:rPr>
        <w:t xml:space="preserve">Screen Australia </w:t>
      </w:r>
      <w:r w:rsidR="00C113C7">
        <w:rPr>
          <w:color w:val="333333"/>
          <w:sz w:val="21"/>
          <w:szCs w:val="21"/>
        </w:rPr>
        <w:t xml:space="preserve">also </w:t>
      </w:r>
      <w:r>
        <w:rPr>
          <w:color w:val="333333"/>
          <w:sz w:val="21"/>
          <w:szCs w:val="21"/>
        </w:rPr>
        <w:t xml:space="preserve">understands there may be </w:t>
      </w:r>
      <w:r w:rsidR="00C113C7">
        <w:rPr>
          <w:color w:val="333333"/>
          <w:sz w:val="21"/>
          <w:szCs w:val="21"/>
        </w:rPr>
        <w:t>circumstances</w:t>
      </w:r>
      <w:r>
        <w:rPr>
          <w:color w:val="333333"/>
          <w:sz w:val="21"/>
          <w:szCs w:val="21"/>
        </w:rPr>
        <w:t xml:space="preserve"> where the acknowledgement </w:t>
      </w:r>
      <w:r w:rsidR="00C113C7">
        <w:rPr>
          <w:color w:val="333333"/>
          <w:sz w:val="21"/>
          <w:szCs w:val="21"/>
        </w:rPr>
        <w:t xml:space="preserve">may not align with your </w:t>
      </w:r>
      <w:r w:rsidR="00EE5CAA">
        <w:rPr>
          <w:color w:val="333333"/>
          <w:sz w:val="21"/>
          <w:szCs w:val="21"/>
        </w:rPr>
        <w:t>project</w:t>
      </w:r>
      <w:r w:rsidR="00C113C7">
        <w:rPr>
          <w:color w:val="333333"/>
          <w:sz w:val="21"/>
          <w:szCs w:val="21"/>
        </w:rPr>
        <w:t xml:space="preserve">. </w:t>
      </w:r>
      <w:r>
        <w:rPr>
          <w:color w:val="333333"/>
          <w:sz w:val="21"/>
          <w:szCs w:val="21"/>
        </w:rPr>
        <w:t xml:space="preserve">You can discuss </w:t>
      </w:r>
      <w:r w:rsidR="00EE7205">
        <w:rPr>
          <w:color w:val="333333"/>
          <w:sz w:val="21"/>
          <w:szCs w:val="21"/>
        </w:rPr>
        <w:t xml:space="preserve">this </w:t>
      </w:r>
      <w:r>
        <w:rPr>
          <w:color w:val="333333"/>
          <w:sz w:val="21"/>
          <w:szCs w:val="21"/>
        </w:rPr>
        <w:t>directly with your Funding Manager</w:t>
      </w:r>
      <w:r w:rsidR="00C113C7">
        <w:rPr>
          <w:color w:val="333333"/>
          <w:sz w:val="21"/>
          <w:szCs w:val="21"/>
        </w:rPr>
        <w:t>. Any changes agreed to by your funding manager, in writing, will override the acknowledgement in the PGA</w:t>
      </w:r>
      <w:r>
        <w:rPr>
          <w:color w:val="333333"/>
          <w:sz w:val="21"/>
          <w:szCs w:val="21"/>
        </w:rPr>
        <w:t>.</w:t>
      </w:r>
    </w:p>
    <w:p w14:paraId="5AA8ADB1" w14:textId="7E1D2D38" w:rsidR="00AE02BA" w:rsidRPr="00C448CF" w:rsidRDefault="00E3236C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 w:rsidRPr="00C448CF">
        <w:rPr>
          <w:b/>
          <w:color w:val="333333"/>
          <w:sz w:val="21"/>
          <w:szCs w:val="21"/>
        </w:rPr>
        <w:t>Definitions</w:t>
      </w:r>
    </w:p>
    <w:p w14:paraId="1CBFE09D" w14:textId="172F64A8" w:rsidR="00AE02BA" w:rsidRDefault="00AE02BA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‘</w:t>
      </w:r>
      <w:r w:rsidRPr="00E3236C">
        <w:rPr>
          <w:b/>
          <w:color w:val="333333"/>
          <w:sz w:val="21"/>
          <w:szCs w:val="21"/>
        </w:rPr>
        <w:t>Budgeted Cost</w:t>
      </w:r>
      <w:r>
        <w:rPr>
          <w:color w:val="333333"/>
          <w:sz w:val="21"/>
          <w:szCs w:val="21"/>
        </w:rPr>
        <w:t xml:space="preserve">’ </w:t>
      </w:r>
      <w:r w:rsidR="00DA720D">
        <w:rPr>
          <w:color w:val="333333"/>
          <w:sz w:val="21"/>
          <w:szCs w:val="21"/>
        </w:rPr>
        <w:t>refers to</w:t>
      </w:r>
      <w:r w:rsidR="00E3236C">
        <w:rPr>
          <w:color w:val="333333"/>
          <w:sz w:val="21"/>
          <w:szCs w:val="21"/>
        </w:rPr>
        <w:t xml:space="preserve"> the total </w:t>
      </w:r>
      <w:r w:rsidR="00DA720D">
        <w:rPr>
          <w:color w:val="333333"/>
          <w:sz w:val="21"/>
          <w:szCs w:val="21"/>
        </w:rPr>
        <w:t>“B</w:t>
      </w:r>
      <w:r w:rsidR="00E3236C">
        <w:rPr>
          <w:color w:val="333333"/>
          <w:sz w:val="21"/>
          <w:szCs w:val="21"/>
        </w:rPr>
        <w:t xml:space="preserve">udgeted </w:t>
      </w:r>
      <w:r w:rsidR="00DA720D">
        <w:rPr>
          <w:color w:val="333333"/>
          <w:sz w:val="21"/>
          <w:szCs w:val="21"/>
        </w:rPr>
        <w:t>C</w:t>
      </w:r>
      <w:r w:rsidR="00E3236C">
        <w:rPr>
          <w:color w:val="333333"/>
          <w:sz w:val="21"/>
          <w:szCs w:val="21"/>
        </w:rPr>
        <w:t>ost</w:t>
      </w:r>
      <w:r w:rsidR="00DA720D">
        <w:rPr>
          <w:color w:val="333333"/>
          <w:sz w:val="21"/>
          <w:szCs w:val="21"/>
        </w:rPr>
        <w:t>"</w:t>
      </w:r>
      <w:r w:rsidR="005A7989">
        <w:rPr>
          <w:color w:val="333333"/>
          <w:sz w:val="21"/>
          <w:szCs w:val="21"/>
        </w:rPr>
        <w:t xml:space="preserve"> </w:t>
      </w:r>
      <w:r w:rsidR="00E3236C">
        <w:rPr>
          <w:color w:val="333333"/>
          <w:sz w:val="21"/>
          <w:szCs w:val="21"/>
        </w:rPr>
        <w:t xml:space="preserve">set out in </w:t>
      </w:r>
      <w:r w:rsidR="00DA720D">
        <w:rPr>
          <w:color w:val="333333"/>
          <w:sz w:val="21"/>
          <w:szCs w:val="21"/>
        </w:rPr>
        <w:t>your</w:t>
      </w:r>
      <w:r w:rsidR="00E3236C">
        <w:rPr>
          <w:color w:val="333333"/>
          <w:sz w:val="21"/>
          <w:szCs w:val="21"/>
        </w:rPr>
        <w:t xml:space="preserve"> Budget and Finance Plan.</w:t>
      </w:r>
      <w:r w:rsidR="005A7989">
        <w:rPr>
          <w:color w:val="333333"/>
          <w:sz w:val="21"/>
          <w:szCs w:val="21"/>
        </w:rPr>
        <w:t xml:space="preserve"> This amount is the sum of all financial contributions received by you, and is the total cost of making your game.</w:t>
      </w:r>
    </w:p>
    <w:p w14:paraId="405CC7BD" w14:textId="42E4F851" w:rsidR="00E3236C" w:rsidRDefault="00E3236C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 w:rsidRPr="00E3236C">
        <w:rPr>
          <w:b/>
          <w:color w:val="333333"/>
          <w:sz w:val="21"/>
          <w:szCs w:val="21"/>
        </w:rPr>
        <w:t>‘Milestone 3 Cost Report’</w:t>
      </w:r>
      <w:r>
        <w:rPr>
          <w:color w:val="333333"/>
          <w:sz w:val="21"/>
          <w:szCs w:val="21"/>
        </w:rPr>
        <w:t xml:space="preserve"> means the Final Cost Report</w:t>
      </w:r>
      <w:r w:rsidR="00BD0899">
        <w:rPr>
          <w:color w:val="333333"/>
          <w:sz w:val="21"/>
          <w:szCs w:val="21"/>
        </w:rPr>
        <w:t>,</w:t>
      </w:r>
      <w:r>
        <w:rPr>
          <w:color w:val="333333"/>
          <w:sz w:val="21"/>
          <w:szCs w:val="21"/>
        </w:rPr>
        <w:t xml:space="preserve"> due within 2 months of the Delivery Date.</w:t>
      </w:r>
    </w:p>
    <w:p w14:paraId="68B73FBF" w14:textId="77777777" w:rsidR="00CA7642" w:rsidRDefault="00CA7642" w:rsidP="00B60461">
      <w:pPr>
        <w:ind w:right="382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br w:type="page"/>
      </w:r>
    </w:p>
    <w:p w14:paraId="77E4EA59" w14:textId="27399FE1" w:rsidR="00965108" w:rsidRPr="00C448CF" w:rsidRDefault="00965108" w:rsidP="00B60461">
      <w:pPr>
        <w:shd w:val="clear" w:color="auto" w:fill="FFFFFF"/>
        <w:spacing w:after="220"/>
        <w:ind w:right="382"/>
        <w:rPr>
          <w:b/>
          <w:color w:val="333333"/>
          <w:sz w:val="21"/>
          <w:szCs w:val="21"/>
        </w:rPr>
      </w:pPr>
      <w:r w:rsidRPr="00C448CF">
        <w:rPr>
          <w:b/>
          <w:color w:val="333333"/>
          <w:sz w:val="21"/>
          <w:szCs w:val="21"/>
        </w:rPr>
        <w:t>Clause 6.8</w:t>
      </w:r>
    </w:p>
    <w:p w14:paraId="43005525" w14:textId="5DFDFB6B" w:rsidR="00BD0899" w:rsidRDefault="00DA720D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One of Screen Australia’s key functions is supporting the development of a creative and commercially sustainable Australian screen production industry. </w:t>
      </w:r>
      <w:r w:rsidR="00BD0899">
        <w:rPr>
          <w:color w:val="333333"/>
          <w:sz w:val="21"/>
          <w:szCs w:val="21"/>
        </w:rPr>
        <w:t>Screen Australia</w:t>
      </w:r>
      <w:r w:rsidR="00032DEF">
        <w:rPr>
          <w:color w:val="333333"/>
          <w:sz w:val="21"/>
          <w:szCs w:val="21"/>
        </w:rPr>
        <w:t xml:space="preserve"> wants to ensure that its funding recipients</w:t>
      </w:r>
      <w:r w:rsidR="00BD0899">
        <w:rPr>
          <w:color w:val="333333"/>
          <w:sz w:val="21"/>
          <w:szCs w:val="21"/>
        </w:rPr>
        <w:t xml:space="preserve"> </w:t>
      </w:r>
      <w:r w:rsidR="00032DEF">
        <w:rPr>
          <w:color w:val="333333"/>
          <w:sz w:val="21"/>
          <w:szCs w:val="21"/>
        </w:rPr>
        <w:t>maintain ownership of intellectual property rights (including copyright)</w:t>
      </w:r>
      <w:r>
        <w:rPr>
          <w:color w:val="333333"/>
          <w:sz w:val="21"/>
          <w:szCs w:val="21"/>
        </w:rPr>
        <w:t xml:space="preserve"> and creative control</w:t>
      </w:r>
      <w:r w:rsidR="00032DEF">
        <w:rPr>
          <w:color w:val="333333"/>
          <w:sz w:val="21"/>
          <w:szCs w:val="21"/>
        </w:rPr>
        <w:t xml:space="preserve"> in </w:t>
      </w:r>
      <w:r>
        <w:rPr>
          <w:color w:val="333333"/>
          <w:sz w:val="21"/>
          <w:szCs w:val="21"/>
        </w:rPr>
        <w:t xml:space="preserve">their </w:t>
      </w:r>
      <w:r w:rsidR="00032DEF">
        <w:rPr>
          <w:color w:val="333333"/>
          <w:sz w:val="21"/>
          <w:szCs w:val="21"/>
        </w:rPr>
        <w:t>projects.</w:t>
      </w:r>
      <w:r w:rsidR="008B36E0">
        <w:rPr>
          <w:color w:val="333333"/>
          <w:sz w:val="21"/>
          <w:szCs w:val="21"/>
        </w:rPr>
        <w:t xml:space="preserve"> </w:t>
      </w:r>
      <w:r w:rsidR="00032DEF">
        <w:rPr>
          <w:color w:val="333333"/>
          <w:sz w:val="21"/>
          <w:szCs w:val="21"/>
        </w:rPr>
        <w:t>I</w:t>
      </w:r>
      <w:r w:rsidR="00BD0899">
        <w:rPr>
          <w:color w:val="333333"/>
          <w:sz w:val="21"/>
          <w:szCs w:val="21"/>
        </w:rPr>
        <w:t>f you wish to assign</w:t>
      </w:r>
      <w:r w:rsidR="00032DEF">
        <w:rPr>
          <w:color w:val="333333"/>
          <w:sz w:val="21"/>
          <w:szCs w:val="21"/>
        </w:rPr>
        <w:t xml:space="preserve"> your rights (meaning transferring ownership of your rights)</w:t>
      </w:r>
      <w:r w:rsidR="00BD0899">
        <w:rPr>
          <w:color w:val="333333"/>
          <w:sz w:val="21"/>
          <w:szCs w:val="21"/>
        </w:rPr>
        <w:t xml:space="preserve"> </w:t>
      </w:r>
      <w:r w:rsidR="00032DEF">
        <w:rPr>
          <w:color w:val="333333"/>
          <w:sz w:val="21"/>
          <w:szCs w:val="21"/>
        </w:rPr>
        <w:t>in your project to a third party</w:t>
      </w:r>
      <w:r w:rsidR="00BD0899">
        <w:rPr>
          <w:color w:val="333333"/>
          <w:sz w:val="21"/>
          <w:szCs w:val="21"/>
        </w:rPr>
        <w:t xml:space="preserve">, we want to work with you to be satisfied </w:t>
      </w:r>
      <w:r w:rsidR="00032DEF">
        <w:rPr>
          <w:color w:val="333333"/>
          <w:sz w:val="21"/>
          <w:szCs w:val="21"/>
        </w:rPr>
        <w:t>that the</w:t>
      </w:r>
      <w:r w:rsidR="00BD0899">
        <w:rPr>
          <w:color w:val="333333"/>
          <w:sz w:val="21"/>
          <w:szCs w:val="21"/>
        </w:rPr>
        <w:t xml:space="preserve"> assignment is in your best interest.</w:t>
      </w:r>
    </w:p>
    <w:p w14:paraId="6B712448" w14:textId="768B79CB" w:rsidR="00E65A83" w:rsidRDefault="00E65A83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You are required to seek Screen Australia’s </w:t>
      </w:r>
      <w:r w:rsidR="00BD0899">
        <w:rPr>
          <w:color w:val="333333"/>
          <w:sz w:val="21"/>
          <w:szCs w:val="21"/>
        </w:rPr>
        <w:t xml:space="preserve">written </w:t>
      </w:r>
      <w:r>
        <w:rPr>
          <w:color w:val="333333"/>
          <w:sz w:val="21"/>
          <w:szCs w:val="21"/>
        </w:rPr>
        <w:t xml:space="preserve">consent (not to be unreasonably withheld) to transfer your intellectual property rights (including copyright). </w:t>
      </w:r>
    </w:p>
    <w:p w14:paraId="75FC65FC" w14:textId="77777777" w:rsidR="00E65A83" w:rsidRDefault="00E65A83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</w:p>
    <w:p w14:paraId="23FF5A09" w14:textId="77777777" w:rsidR="00965108" w:rsidRPr="00965108" w:rsidRDefault="00965108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</w:p>
    <w:p w14:paraId="72A43636" w14:textId="3CAC2041" w:rsidR="007157DF" w:rsidRPr="0071715D" w:rsidRDefault="007157DF" w:rsidP="00B60461">
      <w:pPr>
        <w:shd w:val="clear" w:color="auto" w:fill="FFFFFF"/>
        <w:spacing w:after="220"/>
        <w:ind w:right="382"/>
        <w:rPr>
          <w:color w:val="333333"/>
          <w:sz w:val="21"/>
          <w:szCs w:val="21"/>
        </w:rPr>
      </w:pPr>
      <w:bookmarkStart w:id="0" w:name="_GoBack"/>
      <w:bookmarkEnd w:id="0"/>
    </w:p>
    <w:sectPr w:rsidR="007157DF" w:rsidRPr="0071715D" w:rsidSect="00F4090B">
      <w:footerReference w:type="default" r:id="rId8"/>
      <w:headerReference w:type="first" r:id="rId9"/>
      <w:pgSz w:w="11909" w:h="16834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D2331" w14:textId="77777777" w:rsidR="00F4090B" w:rsidRDefault="00F4090B" w:rsidP="00F4090B">
      <w:pPr>
        <w:spacing w:line="240" w:lineRule="auto"/>
      </w:pPr>
      <w:r>
        <w:separator/>
      </w:r>
    </w:p>
  </w:endnote>
  <w:endnote w:type="continuationSeparator" w:id="0">
    <w:p w14:paraId="2215F3B5" w14:textId="77777777" w:rsidR="00F4090B" w:rsidRDefault="00F4090B" w:rsidP="00F409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2067924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046C10DF" w14:textId="5EB8952F" w:rsidR="00F4090B" w:rsidRPr="0009117D" w:rsidRDefault="00F4090B" w:rsidP="00F4090B">
        <w:pPr>
          <w:pStyle w:val="Footer"/>
          <w:jc w:val="right"/>
          <w:rPr>
            <w:sz w:val="16"/>
            <w:szCs w:val="16"/>
          </w:rPr>
        </w:pPr>
        <w:r w:rsidRPr="0009117D">
          <w:rPr>
            <w:sz w:val="16"/>
            <w:szCs w:val="16"/>
          </w:rPr>
          <w:fldChar w:fldCharType="begin"/>
        </w:r>
        <w:r w:rsidRPr="0009117D">
          <w:rPr>
            <w:sz w:val="16"/>
            <w:szCs w:val="16"/>
          </w:rPr>
          <w:instrText xml:space="preserve"> PAGE   \* MERGEFORMAT </w:instrText>
        </w:r>
        <w:r w:rsidRPr="0009117D">
          <w:rPr>
            <w:sz w:val="16"/>
            <w:szCs w:val="16"/>
          </w:rPr>
          <w:fldChar w:fldCharType="separate"/>
        </w:r>
        <w:r w:rsidR="00B60461">
          <w:rPr>
            <w:noProof/>
            <w:sz w:val="16"/>
            <w:szCs w:val="16"/>
          </w:rPr>
          <w:t>2</w:t>
        </w:r>
        <w:r w:rsidRPr="0009117D">
          <w:rPr>
            <w:noProof/>
            <w:sz w:val="16"/>
            <w:szCs w:val="16"/>
          </w:rPr>
          <w:fldChar w:fldCharType="end"/>
        </w:r>
      </w:p>
    </w:sdtContent>
  </w:sdt>
  <w:p w14:paraId="40CFDD8E" w14:textId="77777777" w:rsidR="00F4090B" w:rsidRDefault="00F4090B" w:rsidP="00F4090B">
    <w:pPr>
      <w:pStyle w:val="Footer"/>
      <w:rPr>
        <w:sz w:val="16"/>
        <w:szCs w:val="16"/>
      </w:rPr>
    </w:pPr>
  </w:p>
  <w:p w14:paraId="01736050" w14:textId="77777777" w:rsidR="00F4090B" w:rsidRPr="0009117D" w:rsidRDefault="00F4090B" w:rsidP="00F4090B">
    <w:pPr>
      <w:pStyle w:val="Footer"/>
      <w:rPr>
        <w:sz w:val="16"/>
        <w:szCs w:val="16"/>
      </w:rPr>
    </w:pPr>
    <w:r w:rsidRPr="0009117D">
      <w:rPr>
        <w:sz w:val="16"/>
        <w:szCs w:val="16"/>
      </w:rPr>
      <w:t>Games Expansion Pack – Contracting FAQS 202208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DC79C" w14:textId="77777777" w:rsidR="00F4090B" w:rsidRDefault="00F4090B" w:rsidP="00F4090B">
      <w:pPr>
        <w:spacing w:line="240" w:lineRule="auto"/>
      </w:pPr>
      <w:r>
        <w:separator/>
      </w:r>
    </w:p>
  </w:footnote>
  <w:footnote w:type="continuationSeparator" w:id="0">
    <w:p w14:paraId="1DF7D791" w14:textId="77777777" w:rsidR="00F4090B" w:rsidRDefault="00F4090B" w:rsidP="00F409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9C7EB" w14:textId="70EB3664" w:rsidR="00B60461" w:rsidRDefault="00B60461" w:rsidP="00F4090B">
    <w:pPr>
      <w:pStyle w:val="Title"/>
      <w:shd w:val="clear" w:color="auto" w:fill="FFFFFF"/>
      <w:spacing w:after="220"/>
    </w:pPr>
    <w:r w:rsidRPr="00A3430B">
      <w:rPr>
        <w:noProof/>
      </w:rPr>
      <w:drawing>
        <wp:anchor distT="0" distB="0" distL="114300" distR="114300" simplePos="0" relativeHeight="251661312" behindDoc="0" locked="0" layoutInCell="1" allowOverlap="1" wp14:anchorId="7DD652BF" wp14:editId="3179509C">
          <wp:simplePos x="0" y="0"/>
          <wp:positionH relativeFrom="column">
            <wp:posOffset>3712210</wp:posOffset>
          </wp:positionH>
          <wp:positionV relativeFrom="paragraph">
            <wp:posOffset>578485</wp:posOffset>
          </wp:positionV>
          <wp:extent cx="1881505" cy="1562735"/>
          <wp:effectExtent l="0" t="0" r="444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1505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6F8F39" w14:textId="585285FE" w:rsidR="00F4090B" w:rsidRPr="0071715D" w:rsidRDefault="00F4090B" w:rsidP="00F4090B">
    <w:pPr>
      <w:pStyle w:val="Title"/>
      <w:shd w:val="clear" w:color="auto" w:fill="FFFFFF"/>
      <w:spacing w:after="220"/>
    </w:pPr>
    <w:r w:rsidRPr="0071715D">
      <w:t xml:space="preserve">Games: Expansion Pack </w:t>
    </w:r>
  </w:p>
  <w:p w14:paraId="1D2395EA" w14:textId="77777777" w:rsidR="00F4090B" w:rsidRDefault="00F409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071B1"/>
    <w:multiLevelType w:val="hybridMultilevel"/>
    <w:tmpl w:val="F8C683BC"/>
    <w:lvl w:ilvl="0" w:tplc="0C09000F">
      <w:start w:val="1"/>
      <w:numFmt w:val="decimal"/>
      <w:lvlText w:val="%1."/>
      <w:lvlJc w:val="left"/>
      <w:pPr>
        <w:ind w:left="777" w:hanging="360"/>
      </w:pPr>
    </w:lvl>
    <w:lvl w:ilvl="1" w:tplc="0C090019" w:tentative="1">
      <w:start w:val="1"/>
      <w:numFmt w:val="lowerLetter"/>
      <w:lvlText w:val="%2."/>
      <w:lvlJc w:val="left"/>
      <w:pPr>
        <w:ind w:left="1497" w:hanging="360"/>
      </w:pPr>
    </w:lvl>
    <w:lvl w:ilvl="2" w:tplc="0C09001B" w:tentative="1">
      <w:start w:val="1"/>
      <w:numFmt w:val="lowerRoman"/>
      <w:lvlText w:val="%3."/>
      <w:lvlJc w:val="right"/>
      <w:pPr>
        <w:ind w:left="2217" w:hanging="180"/>
      </w:pPr>
    </w:lvl>
    <w:lvl w:ilvl="3" w:tplc="0C09000F" w:tentative="1">
      <w:start w:val="1"/>
      <w:numFmt w:val="decimal"/>
      <w:lvlText w:val="%4."/>
      <w:lvlJc w:val="left"/>
      <w:pPr>
        <w:ind w:left="2937" w:hanging="360"/>
      </w:pPr>
    </w:lvl>
    <w:lvl w:ilvl="4" w:tplc="0C090019" w:tentative="1">
      <w:start w:val="1"/>
      <w:numFmt w:val="lowerLetter"/>
      <w:lvlText w:val="%5."/>
      <w:lvlJc w:val="left"/>
      <w:pPr>
        <w:ind w:left="3657" w:hanging="360"/>
      </w:pPr>
    </w:lvl>
    <w:lvl w:ilvl="5" w:tplc="0C09001B" w:tentative="1">
      <w:start w:val="1"/>
      <w:numFmt w:val="lowerRoman"/>
      <w:lvlText w:val="%6."/>
      <w:lvlJc w:val="right"/>
      <w:pPr>
        <w:ind w:left="4377" w:hanging="180"/>
      </w:pPr>
    </w:lvl>
    <w:lvl w:ilvl="6" w:tplc="0C09000F" w:tentative="1">
      <w:start w:val="1"/>
      <w:numFmt w:val="decimal"/>
      <w:lvlText w:val="%7."/>
      <w:lvlJc w:val="left"/>
      <w:pPr>
        <w:ind w:left="5097" w:hanging="360"/>
      </w:pPr>
    </w:lvl>
    <w:lvl w:ilvl="7" w:tplc="0C090019" w:tentative="1">
      <w:start w:val="1"/>
      <w:numFmt w:val="lowerLetter"/>
      <w:lvlText w:val="%8."/>
      <w:lvlJc w:val="left"/>
      <w:pPr>
        <w:ind w:left="5817" w:hanging="360"/>
      </w:pPr>
    </w:lvl>
    <w:lvl w:ilvl="8" w:tplc="0C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09BC0FA8"/>
    <w:multiLevelType w:val="multilevel"/>
    <w:tmpl w:val="BFAE22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7F50D3"/>
    <w:multiLevelType w:val="multilevel"/>
    <w:tmpl w:val="05FCE1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4F557E"/>
    <w:multiLevelType w:val="hybridMultilevel"/>
    <w:tmpl w:val="31F02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77F7"/>
    <w:multiLevelType w:val="multilevel"/>
    <w:tmpl w:val="47B67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D965233"/>
    <w:multiLevelType w:val="hybridMultilevel"/>
    <w:tmpl w:val="7018B3A6"/>
    <w:lvl w:ilvl="0" w:tplc="EB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10A1D"/>
    <w:multiLevelType w:val="hybridMultilevel"/>
    <w:tmpl w:val="CD06F88E"/>
    <w:lvl w:ilvl="0" w:tplc="4C72279A">
      <w:numFmt w:val="bullet"/>
      <w:lvlText w:val="–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1FF4E15"/>
    <w:multiLevelType w:val="hybridMultilevel"/>
    <w:tmpl w:val="60FE88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43BF4"/>
    <w:multiLevelType w:val="hybridMultilevel"/>
    <w:tmpl w:val="87A68918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97" w:hanging="360"/>
      </w:pPr>
    </w:lvl>
    <w:lvl w:ilvl="2" w:tplc="0C09001B" w:tentative="1">
      <w:start w:val="1"/>
      <w:numFmt w:val="lowerRoman"/>
      <w:lvlText w:val="%3."/>
      <w:lvlJc w:val="right"/>
      <w:pPr>
        <w:ind w:left="2217" w:hanging="180"/>
      </w:pPr>
    </w:lvl>
    <w:lvl w:ilvl="3" w:tplc="0C09000F" w:tentative="1">
      <w:start w:val="1"/>
      <w:numFmt w:val="decimal"/>
      <w:lvlText w:val="%4."/>
      <w:lvlJc w:val="left"/>
      <w:pPr>
        <w:ind w:left="2937" w:hanging="360"/>
      </w:pPr>
    </w:lvl>
    <w:lvl w:ilvl="4" w:tplc="0C090019" w:tentative="1">
      <w:start w:val="1"/>
      <w:numFmt w:val="lowerLetter"/>
      <w:lvlText w:val="%5."/>
      <w:lvlJc w:val="left"/>
      <w:pPr>
        <w:ind w:left="3657" w:hanging="360"/>
      </w:pPr>
    </w:lvl>
    <w:lvl w:ilvl="5" w:tplc="0C09001B" w:tentative="1">
      <w:start w:val="1"/>
      <w:numFmt w:val="lowerRoman"/>
      <w:lvlText w:val="%6."/>
      <w:lvlJc w:val="right"/>
      <w:pPr>
        <w:ind w:left="4377" w:hanging="180"/>
      </w:pPr>
    </w:lvl>
    <w:lvl w:ilvl="6" w:tplc="0C09000F" w:tentative="1">
      <w:start w:val="1"/>
      <w:numFmt w:val="decimal"/>
      <w:lvlText w:val="%7."/>
      <w:lvlJc w:val="left"/>
      <w:pPr>
        <w:ind w:left="5097" w:hanging="360"/>
      </w:pPr>
    </w:lvl>
    <w:lvl w:ilvl="7" w:tplc="0C090019" w:tentative="1">
      <w:start w:val="1"/>
      <w:numFmt w:val="lowerLetter"/>
      <w:lvlText w:val="%8."/>
      <w:lvlJc w:val="left"/>
      <w:pPr>
        <w:ind w:left="5817" w:hanging="360"/>
      </w:pPr>
    </w:lvl>
    <w:lvl w:ilvl="8" w:tplc="0C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69B51E24"/>
    <w:multiLevelType w:val="hybridMultilevel"/>
    <w:tmpl w:val="95BE14F4"/>
    <w:lvl w:ilvl="0" w:tplc="EB48E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F36EAC"/>
    <w:multiLevelType w:val="multilevel"/>
    <w:tmpl w:val="0FFA38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AE"/>
    <w:rsid w:val="00032DEF"/>
    <w:rsid w:val="000A2A92"/>
    <w:rsid w:val="00275BAB"/>
    <w:rsid w:val="002F738F"/>
    <w:rsid w:val="004D47E5"/>
    <w:rsid w:val="00527A84"/>
    <w:rsid w:val="005A7989"/>
    <w:rsid w:val="005B3062"/>
    <w:rsid w:val="0060656C"/>
    <w:rsid w:val="007120CB"/>
    <w:rsid w:val="007157DF"/>
    <w:rsid w:val="0071715D"/>
    <w:rsid w:val="007D7BAE"/>
    <w:rsid w:val="00841B86"/>
    <w:rsid w:val="00873B51"/>
    <w:rsid w:val="008923BF"/>
    <w:rsid w:val="008B36E0"/>
    <w:rsid w:val="008B7669"/>
    <w:rsid w:val="008D595F"/>
    <w:rsid w:val="00965108"/>
    <w:rsid w:val="009802CD"/>
    <w:rsid w:val="0098778C"/>
    <w:rsid w:val="00A3430B"/>
    <w:rsid w:val="00A91F93"/>
    <w:rsid w:val="00A9492C"/>
    <w:rsid w:val="00AE02BA"/>
    <w:rsid w:val="00B60461"/>
    <w:rsid w:val="00B714C2"/>
    <w:rsid w:val="00BD0899"/>
    <w:rsid w:val="00C05060"/>
    <w:rsid w:val="00C113C7"/>
    <w:rsid w:val="00C448CF"/>
    <w:rsid w:val="00CA7642"/>
    <w:rsid w:val="00D20612"/>
    <w:rsid w:val="00D678DB"/>
    <w:rsid w:val="00DA720D"/>
    <w:rsid w:val="00DD7FA8"/>
    <w:rsid w:val="00E3236C"/>
    <w:rsid w:val="00E65A83"/>
    <w:rsid w:val="00EE5CAA"/>
    <w:rsid w:val="00EE7205"/>
    <w:rsid w:val="00F4090B"/>
    <w:rsid w:val="00F8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4B28A-48DC-47D8-B9D4-0B67D150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AU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9802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2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2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2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2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2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651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DE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4090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90B"/>
  </w:style>
  <w:style w:type="paragraph" w:styleId="Footer">
    <w:name w:val="footer"/>
    <w:basedOn w:val="Normal"/>
    <w:link w:val="FooterChar"/>
    <w:uiPriority w:val="99"/>
    <w:unhideWhenUsed/>
    <w:rsid w:val="00F4090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8A"/>
    <w:rsid w:val="0044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DBBE27DDB24F9DA13F0799FC925BE5">
    <w:name w:val="37DBBE27DDB24F9DA13F0799FC925BE5"/>
    <w:rsid w:val="004430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5DD68-0637-4967-B1D6-58E555AE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Screen Australia</Company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Naimo</dc:creator>
  <cp:lastModifiedBy>Lisa Azzopardi</cp:lastModifiedBy>
  <cp:revision>3</cp:revision>
  <dcterms:created xsi:type="dcterms:W3CDTF">2022-08-15T03:44:00Z</dcterms:created>
  <dcterms:modified xsi:type="dcterms:W3CDTF">2022-08-15T03:46:00Z</dcterms:modified>
</cp:coreProperties>
</file>